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bookmarkStart w:id="0" w:name="_GoBack"/>
      <w:bookmarkEnd w:id="0"/>
    </w:p>
    <w:p w:rsidR="00663855" w:rsidRPr="00663855" w:rsidRDefault="00663855" w:rsidP="00663855">
      <w:pPr>
        <w:spacing w:before="100" w:beforeAutospacing="1" w:after="100" w:afterAutospacing="1" w:line="240" w:lineRule="auto"/>
        <w:jc w:val="center"/>
        <w:rPr>
          <w:rFonts w:ascii="Times New Roman" w:eastAsia="Times New Roman" w:hAnsi="Times New Roman" w:cs="Times New Roman"/>
          <w:sz w:val="24"/>
          <w:szCs w:val="24"/>
          <w:lang w:val="en-US" w:eastAsia="sv-SE"/>
        </w:rPr>
      </w:pPr>
      <w:r w:rsidRPr="00663855">
        <w:rPr>
          <w:rFonts w:ascii="Cambria" w:eastAsia="Times New Roman" w:hAnsi="Cambria" w:cs="Times New Roman"/>
          <w:b/>
          <w:bCs/>
          <w:color w:val="000000"/>
          <w:sz w:val="28"/>
          <w:szCs w:val="28"/>
          <w:lang w:val="en-US" w:eastAsia="sv-SE"/>
        </w:rPr>
        <w:t>Academy of Global Governance - 2013 Executive Training Seminar Series</w:t>
      </w:r>
    </w:p>
    <w:p w:rsidR="00663855" w:rsidRPr="00663855" w:rsidRDefault="00663855" w:rsidP="00663855">
      <w:pPr>
        <w:spacing w:before="100" w:beforeAutospacing="1" w:after="100" w:afterAutospacing="1" w:line="240" w:lineRule="auto"/>
        <w:jc w:val="center"/>
        <w:rPr>
          <w:rFonts w:ascii="Times New Roman" w:eastAsia="Times New Roman" w:hAnsi="Times New Roman" w:cs="Times New Roman"/>
          <w:sz w:val="24"/>
          <w:szCs w:val="24"/>
          <w:lang w:val="en-US" w:eastAsia="sv-SE"/>
        </w:rPr>
      </w:pPr>
      <w:r w:rsidRPr="00663855">
        <w:rPr>
          <w:rFonts w:ascii="Cambria" w:eastAsia="Times New Roman" w:hAnsi="Cambria" w:cs="Times New Roman"/>
          <w:b/>
          <w:bCs/>
          <w:i/>
          <w:iCs/>
          <w:color w:val="1F497D"/>
          <w:lang w:val="en-US" w:eastAsia="sv-SE"/>
        </w:rPr>
        <w:t> </w:t>
      </w:r>
    </w:p>
    <w:p w:rsidR="00663855" w:rsidRPr="00663855" w:rsidRDefault="00663855" w:rsidP="00663855">
      <w:pPr>
        <w:spacing w:before="100" w:beforeAutospacing="1" w:after="100" w:afterAutospacing="1" w:line="240" w:lineRule="auto"/>
        <w:jc w:val="center"/>
        <w:rPr>
          <w:rFonts w:ascii="Times New Roman" w:eastAsia="Times New Roman" w:hAnsi="Times New Roman" w:cs="Times New Roman"/>
          <w:sz w:val="24"/>
          <w:szCs w:val="24"/>
          <w:lang w:val="en-US" w:eastAsia="sv-SE"/>
        </w:rPr>
      </w:pPr>
      <w:r w:rsidRPr="00663855">
        <w:rPr>
          <w:rFonts w:ascii="Cambria" w:eastAsia="Times New Roman" w:hAnsi="Cambria" w:cs="Times New Roman"/>
          <w:b/>
          <w:bCs/>
          <w:color w:val="000000"/>
          <w:sz w:val="28"/>
          <w:szCs w:val="28"/>
          <w:u w:val="single"/>
          <w:lang w:val="en-US" w:eastAsia="sv-SE"/>
        </w:rPr>
        <w:t>Call for applications</w:t>
      </w:r>
    </w:p>
    <w:p w:rsidR="00663855" w:rsidRPr="00663855" w:rsidRDefault="00663855" w:rsidP="00663855">
      <w:pPr>
        <w:spacing w:before="100" w:beforeAutospacing="1" w:after="100" w:afterAutospacing="1" w:line="240" w:lineRule="auto"/>
        <w:jc w:val="center"/>
        <w:rPr>
          <w:rFonts w:ascii="Times New Roman" w:eastAsia="Times New Roman" w:hAnsi="Times New Roman" w:cs="Times New Roman"/>
          <w:sz w:val="24"/>
          <w:szCs w:val="24"/>
          <w:lang w:val="en-US" w:eastAsia="sv-SE"/>
        </w:rPr>
      </w:pPr>
      <w:hyperlink r:id="rId5" w:tgtFrame="_blank" w:tooltip="Gender Quotas at the Global Level: Towards Parity Governance?" w:history="1">
        <w:r w:rsidRPr="00663855">
          <w:rPr>
            <w:rFonts w:ascii="Cambria" w:eastAsia="Times New Roman" w:hAnsi="Cambria" w:cs="Times New Roman"/>
            <w:b/>
            <w:bCs/>
            <w:i/>
            <w:iCs/>
            <w:color w:val="0000FF"/>
            <w:sz w:val="28"/>
            <w:szCs w:val="28"/>
            <w:u w:val="single"/>
            <w:lang w:val="en-US" w:eastAsia="sv-SE"/>
          </w:rPr>
          <w:t>Gender Quotas at the Global Level: Towards Parity Governance?</w:t>
        </w:r>
      </w:hyperlink>
    </w:p>
    <w:p w:rsidR="00663855" w:rsidRPr="00663855" w:rsidRDefault="00663855" w:rsidP="00663855">
      <w:pPr>
        <w:spacing w:before="100" w:beforeAutospacing="1" w:after="100" w:afterAutospacing="1" w:line="240" w:lineRule="auto"/>
        <w:jc w:val="center"/>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8"/>
          <w:szCs w:val="28"/>
          <w:lang w:val="en-US" w:eastAsia="sv-SE"/>
        </w:rPr>
        <w:t>20-22 November 2013, European University Institute, Florence (Italy)</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b/>
          <w:bCs/>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b/>
          <w:bCs/>
          <w:color w:val="000000"/>
          <w:sz w:val="24"/>
          <w:szCs w:val="24"/>
          <w:u w:val="single"/>
          <w:lang w:val="en-US" w:eastAsia="sv-SE"/>
        </w:rPr>
        <w:t>General Description</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There is a global trend towards the endorsement of gender quotas in political and economic decision-making structures raising the question of gender parity as global governance aspiration. International and regional organizations which have endorsed the use of gender quotas include the UN, ILO, OECD, the European Union, the Council of Europe and the Organization of American States. Moreover, these global and regional institutions appear to be increasingly coordinating amongst themselves and also linking up with national and local initiatives in their efforts to advance the agenda of women’s empowerment. This high level seminar is intended to provide a systematic and comparative perspective on the promotion, adoption and implementation of gender quotas in political and economic structures throughout the world, but also, and more importantly, to discuss their underlying logic, expected effects, and conceptual contributions to widespread understandings of equality, democracy and global governance.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hyperlink r:id="rId6" w:history="1">
        <w:proofErr w:type="spellStart"/>
        <w:r w:rsidRPr="00663855">
          <w:rPr>
            <w:rFonts w:ascii="Cambria" w:eastAsia="Times New Roman" w:hAnsi="Cambria" w:cs="Times New Roman"/>
            <w:b/>
            <w:bCs/>
            <w:color w:val="0000FF"/>
            <w:sz w:val="24"/>
            <w:szCs w:val="24"/>
            <w:u w:val="single"/>
            <w:lang w:val="en-US" w:eastAsia="sv-SE"/>
          </w:rPr>
          <w:t>Programme</w:t>
        </w:r>
        <w:proofErr w:type="spellEnd"/>
        <w:r w:rsidRPr="00663855">
          <w:rPr>
            <w:rFonts w:ascii="Cambria" w:eastAsia="Times New Roman" w:hAnsi="Cambria" w:cs="Times New Roman"/>
            <w:b/>
            <w:bCs/>
            <w:color w:val="0000FF"/>
            <w:sz w:val="24"/>
            <w:szCs w:val="24"/>
            <w:u w:val="single"/>
            <w:lang w:val="en-US" w:eastAsia="sv-SE"/>
          </w:rPr>
          <w:t xml:space="preserve"> of the Training Seminar</w:t>
        </w:r>
      </w:hyperlink>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b/>
          <w:bCs/>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b/>
          <w:bCs/>
          <w:color w:val="000000"/>
          <w:sz w:val="24"/>
          <w:szCs w:val="24"/>
          <w:u w:val="single"/>
          <w:lang w:val="en-US" w:eastAsia="sv-SE"/>
        </w:rPr>
        <w:t>Speakers and topics:</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Gabrielle </w:t>
      </w:r>
      <w:proofErr w:type="spellStart"/>
      <w:r w:rsidRPr="00663855">
        <w:rPr>
          <w:rFonts w:ascii="Cambria" w:eastAsia="Times New Roman" w:hAnsi="Cambria" w:cs="Times New Roman"/>
          <w:color w:val="000000"/>
          <w:sz w:val="24"/>
          <w:szCs w:val="24"/>
          <w:lang w:val="en-US" w:eastAsia="sv-SE"/>
        </w:rPr>
        <w:t>Bardall</w:t>
      </w:r>
      <w:proofErr w:type="spellEnd"/>
      <w:r w:rsidRPr="00663855">
        <w:rPr>
          <w:rFonts w:ascii="Cambria" w:eastAsia="Times New Roman" w:hAnsi="Cambria" w:cs="Times New Roman"/>
          <w:color w:val="000000"/>
          <w:sz w:val="24"/>
          <w:szCs w:val="24"/>
          <w:lang w:val="en-US" w:eastAsia="sv-SE"/>
        </w:rPr>
        <w:t xml:space="preserve"> | University of Montreal: </w:t>
      </w:r>
      <w:r w:rsidRPr="00663855">
        <w:rPr>
          <w:rFonts w:ascii="Cambria" w:eastAsia="Times New Roman" w:hAnsi="Cambria" w:cs="Times New Roman"/>
          <w:i/>
          <w:iCs/>
          <w:color w:val="000000"/>
          <w:sz w:val="24"/>
          <w:szCs w:val="24"/>
          <w:lang w:val="en-US" w:eastAsia="sv-SE"/>
        </w:rPr>
        <w:t>From Laws to Seats: Realizing the Potential of Temporary Special Measures in Practice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Gretchen Bauer | University of Delaware: </w:t>
      </w:r>
      <w:r w:rsidRPr="00663855">
        <w:rPr>
          <w:rFonts w:ascii="Cambria" w:eastAsia="Times New Roman" w:hAnsi="Cambria" w:cs="Times New Roman"/>
          <w:i/>
          <w:iCs/>
          <w:color w:val="000000"/>
          <w:sz w:val="24"/>
          <w:szCs w:val="24"/>
          <w:lang w:val="en-US" w:eastAsia="sv-SE"/>
        </w:rPr>
        <w:t>Political and Economic Empowerment of Women in Sub-Saharan Africa: the Potential and Limitations of Gender Quotas.</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proofErr w:type="spellStart"/>
      <w:r w:rsidRPr="00663855">
        <w:rPr>
          <w:rFonts w:ascii="Cambria" w:eastAsia="Times New Roman" w:hAnsi="Cambria" w:cs="Times New Roman"/>
          <w:color w:val="000000"/>
          <w:sz w:val="24"/>
          <w:szCs w:val="24"/>
          <w:lang w:val="en-US" w:eastAsia="sv-SE"/>
        </w:rPr>
        <w:lastRenderedPageBreak/>
        <w:t>Drude</w:t>
      </w:r>
      <w:proofErr w:type="spellEnd"/>
      <w:r w:rsidRPr="00663855">
        <w:rPr>
          <w:rFonts w:ascii="Cambria" w:eastAsia="Times New Roman" w:hAnsi="Cambria" w:cs="Times New Roman"/>
          <w:color w:val="000000"/>
          <w:sz w:val="24"/>
          <w:szCs w:val="24"/>
          <w:lang w:val="en-US" w:eastAsia="sv-SE"/>
        </w:rPr>
        <w:t xml:space="preserve"> </w:t>
      </w:r>
      <w:proofErr w:type="spellStart"/>
      <w:r w:rsidRPr="00663855">
        <w:rPr>
          <w:rFonts w:ascii="Cambria" w:eastAsia="Times New Roman" w:hAnsi="Cambria" w:cs="Times New Roman"/>
          <w:color w:val="000000"/>
          <w:sz w:val="24"/>
          <w:szCs w:val="24"/>
          <w:lang w:val="en-US" w:eastAsia="sv-SE"/>
        </w:rPr>
        <w:t>Dahlerup</w:t>
      </w:r>
      <w:proofErr w:type="spellEnd"/>
      <w:r w:rsidRPr="00663855">
        <w:rPr>
          <w:rFonts w:ascii="Cambria" w:eastAsia="Times New Roman" w:hAnsi="Cambria" w:cs="Times New Roman"/>
          <w:color w:val="000000"/>
          <w:sz w:val="24"/>
          <w:szCs w:val="24"/>
          <w:lang w:val="en-US" w:eastAsia="sv-SE"/>
        </w:rPr>
        <w:t xml:space="preserve"> </w:t>
      </w:r>
      <w:r w:rsidRPr="00663855">
        <w:rPr>
          <w:rFonts w:ascii="Cambria" w:eastAsia="Times New Roman" w:hAnsi="Cambria" w:cs="Times New Roman"/>
          <w:i/>
          <w:iCs/>
          <w:color w:val="000000"/>
          <w:sz w:val="24"/>
          <w:szCs w:val="24"/>
          <w:lang w:val="en-US" w:eastAsia="sv-SE"/>
        </w:rPr>
        <w:t xml:space="preserve">| </w:t>
      </w:r>
      <w:r w:rsidRPr="00663855">
        <w:rPr>
          <w:rFonts w:ascii="Cambria" w:eastAsia="Times New Roman" w:hAnsi="Cambria" w:cs="Times New Roman"/>
          <w:color w:val="000000"/>
          <w:sz w:val="24"/>
          <w:szCs w:val="24"/>
          <w:lang w:val="en-US" w:eastAsia="sv-SE"/>
        </w:rPr>
        <w:t xml:space="preserve">Stockholm University: </w:t>
      </w:r>
      <w:r w:rsidRPr="00663855">
        <w:rPr>
          <w:rFonts w:ascii="Cambria" w:eastAsia="Times New Roman" w:hAnsi="Cambria" w:cs="Times New Roman"/>
          <w:i/>
          <w:iCs/>
          <w:color w:val="000000"/>
          <w:sz w:val="24"/>
          <w:szCs w:val="24"/>
          <w:lang w:val="en-US" w:eastAsia="sv-SE"/>
        </w:rPr>
        <w:t>Introducing Gender Quotas in Strong Patriarchal Societies: Predictions and Results.</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Mala </w:t>
      </w:r>
      <w:proofErr w:type="spellStart"/>
      <w:r w:rsidRPr="00663855">
        <w:rPr>
          <w:rFonts w:ascii="Cambria" w:eastAsia="Times New Roman" w:hAnsi="Cambria" w:cs="Times New Roman"/>
          <w:color w:val="000000"/>
          <w:sz w:val="24"/>
          <w:szCs w:val="24"/>
          <w:lang w:val="en-US" w:eastAsia="sv-SE"/>
        </w:rPr>
        <w:t>Htun</w:t>
      </w:r>
      <w:proofErr w:type="spellEnd"/>
      <w:r w:rsidRPr="00663855">
        <w:rPr>
          <w:rFonts w:ascii="Cambria" w:eastAsia="Times New Roman" w:hAnsi="Cambria" w:cs="Times New Roman"/>
          <w:color w:val="000000"/>
          <w:sz w:val="24"/>
          <w:szCs w:val="24"/>
          <w:lang w:val="en-US" w:eastAsia="sv-SE"/>
        </w:rPr>
        <w:t xml:space="preserve"> | University of New Mexico: </w:t>
      </w:r>
      <w:r w:rsidRPr="00663855">
        <w:rPr>
          <w:rFonts w:ascii="Cambria" w:eastAsia="Times New Roman" w:hAnsi="Cambria" w:cs="Times New Roman"/>
          <w:i/>
          <w:iCs/>
          <w:color w:val="000000"/>
          <w:sz w:val="24"/>
          <w:szCs w:val="24"/>
          <w:lang w:val="en-US" w:eastAsia="sv-SE"/>
        </w:rPr>
        <w:t>Gender Quotas and Ethnic Reservations in Latin America: Why Were They Adopted and What Difference Have They Made?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Melanie M. Hughes | University of Pittsburg: </w:t>
      </w:r>
      <w:r w:rsidRPr="00663855">
        <w:rPr>
          <w:rFonts w:ascii="Cambria" w:eastAsia="Times New Roman" w:hAnsi="Cambria" w:cs="Times New Roman"/>
          <w:i/>
          <w:iCs/>
          <w:color w:val="000000"/>
          <w:sz w:val="24"/>
          <w:szCs w:val="24"/>
          <w:lang w:val="en-US" w:eastAsia="sv-SE"/>
        </w:rPr>
        <w:t>The Impact of Gender Quotas on the Political Representation of Ethnic Minorities and Minority Women.</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proofErr w:type="spellStart"/>
      <w:r w:rsidRPr="00663855">
        <w:rPr>
          <w:rFonts w:ascii="Cambria" w:eastAsia="Times New Roman" w:hAnsi="Cambria" w:cs="Times New Roman"/>
          <w:color w:val="000000"/>
          <w:sz w:val="24"/>
          <w:szCs w:val="24"/>
          <w:lang w:val="en-US" w:eastAsia="sv-SE"/>
        </w:rPr>
        <w:t>Eléonore</w:t>
      </w:r>
      <w:proofErr w:type="spellEnd"/>
      <w:r w:rsidRPr="00663855">
        <w:rPr>
          <w:rFonts w:ascii="Cambria" w:eastAsia="Times New Roman" w:hAnsi="Cambria" w:cs="Times New Roman"/>
          <w:color w:val="000000"/>
          <w:sz w:val="24"/>
          <w:szCs w:val="24"/>
          <w:lang w:val="en-US" w:eastAsia="sv-SE"/>
        </w:rPr>
        <w:t xml:space="preserve"> </w:t>
      </w:r>
      <w:proofErr w:type="spellStart"/>
      <w:r w:rsidRPr="00663855">
        <w:rPr>
          <w:rFonts w:ascii="Cambria" w:eastAsia="Times New Roman" w:hAnsi="Cambria" w:cs="Times New Roman"/>
          <w:color w:val="000000"/>
          <w:sz w:val="24"/>
          <w:szCs w:val="24"/>
          <w:lang w:val="en-US" w:eastAsia="sv-SE"/>
        </w:rPr>
        <w:t>Lépinard</w:t>
      </w:r>
      <w:proofErr w:type="spellEnd"/>
      <w:r w:rsidRPr="00663855">
        <w:rPr>
          <w:rFonts w:ascii="Cambria" w:eastAsia="Times New Roman" w:hAnsi="Cambria" w:cs="Times New Roman"/>
          <w:color w:val="000000"/>
          <w:sz w:val="24"/>
          <w:szCs w:val="24"/>
          <w:lang w:val="en-US" w:eastAsia="sv-SE"/>
        </w:rPr>
        <w:t xml:space="preserve"> | University of Lausanne: </w:t>
      </w:r>
      <w:r w:rsidRPr="00663855">
        <w:rPr>
          <w:rFonts w:ascii="Cambria" w:eastAsia="Times New Roman" w:hAnsi="Cambria" w:cs="Times New Roman"/>
          <w:i/>
          <w:iCs/>
          <w:color w:val="000000"/>
          <w:sz w:val="24"/>
          <w:szCs w:val="24"/>
          <w:lang w:val="en-US" w:eastAsia="sv-SE"/>
        </w:rPr>
        <w:t>Gender Quotas and Transformative Politics.</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Alvaro Oliveira | European Commission: </w:t>
      </w:r>
      <w:r w:rsidRPr="00663855">
        <w:rPr>
          <w:rFonts w:ascii="Cambria" w:eastAsia="Times New Roman" w:hAnsi="Cambria" w:cs="Times New Roman"/>
          <w:i/>
          <w:iCs/>
          <w:color w:val="000000"/>
          <w:sz w:val="24"/>
          <w:szCs w:val="24"/>
          <w:lang w:val="en-US" w:eastAsia="sv-SE"/>
        </w:rPr>
        <w:t>The EU and Positive Action on Gender: History, Political and Legal challenges. A case Study: Women on Company Boards.</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Darren </w:t>
      </w:r>
      <w:proofErr w:type="spellStart"/>
      <w:r w:rsidRPr="00663855">
        <w:rPr>
          <w:rFonts w:ascii="Cambria" w:eastAsia="Times New Roman" w:hAnsi="Cambria" w:cs="Times New Roman"/>
          <w:color w:val="000000"/>
          <w:sz w:val="24"/>
          <w:szCs w:val="24"/>
          <w:lang w:val="en-US" w:eastAsia="sv-SE"/>
        </w:rPr>
        <w:t>Rosenblum</w:t>
      </w:r>
      <w:proofErr w:type="spellEnd"/>
      <w:r w:rsidRPr="00663855">
        <w:rPr>
          <w:rFonts w:ascii="Cambria" w:eastAsia="Times New Roman" w:hAnsi="Cambria" w:cs="Times New Roman"/>
          <w:color w:val="000000"/>
          <w:sz w:val="24"/>
          <w:szCs w:val="24"/>
          <w:lang w:val="en-US" w:eastAsia="sv-SE"/>
        </w:rPr>
        <w:t xml:space="preserve"> | Pace Law School: </w:t>
      </w:r>
      <w:r w:rsidRPr="00663855">
        <w:rPr>
          <w:rFonts w:ascii="Cambria" w:eastAsia="Times New Roman" w:hAnsi="Cambria" w:cs="Times New Roman"/>
          <w:i/>
          <w:iCs/>
          <w:color w:val="000000"/>
          <w:sz w:val="24"/>
          <w:szCs w:val="24"/>
          <w:lang w:val="en-US" w:eastAsia="sv-SE"/>
        </w:rPr>
        <w:t>Sex Equality Regimes and Corporate Governance.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Aniela </w:t>
      </w:r>
      <w:proofErr w:type="spellStart"/>
      <w:r w:rsidRPr="00663855">
        <w:rPr>
          <w:rFonts w:ascii="Cambria" w:eastAsia="Times New Roman" w:hAnsi="Cambria" w:cs="Times New Roman"/>
          <w:color w:val="000000"/>
          <w:sz w:val="24"/>
          <w:szCs w:val="24"/>
          <w:lang w:val="en-US" w:eastAsia="sv-SE"/>
        </w:rPr>
        <w:t>Unguresan</w:t>
      </w:r>
      <w:proofErr w:type="spellEnd"/>
      <w:r w:rsidRPr="00663855">
        <w:rPr>
          <w:rFonts w:ascii="Cambria" w:eastAsia="Times New Roman" w:hAnsi="Cambria" w:cs="Times New Roman"/>
          <w:color w:val="000000"/>
          <w:sz w:val="24"/>
          <w:szCs w:val="24"/>
          <w:lang w:val="en-US" w:eastAsia="sv-SE"/>
        </w:rPr>
        <w:t xml:space="preserve"> | Gender Equality Project: </w:t>
      </w:r>
      <w:r w:rsidRPr="00663855">
        <w:rPr>
          <w:rFonts w:ascii="Cambria" w:eastAsia="Times New Roman" w:hAnsi="Cambria" w:cs="Times New Roman"/>
          <w:i/>
          <w:iCs/>
          <w:color w:val="000000"/>
          <w:sz w:val="24"/>
          <w:szCs w:val="24"/>
          <w:lang w:val="en-US" w:eastAsia="sv-SE"/>
        </w:rPr>
        <w:t xml:space="preserve">Measuring the Current State of Gender Equality in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b/>
          <w:bCs/>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b/>
          <w:bCs/>
          <w:color w:val="000000"/>
          <w:sz w:val="24"/>
          <w:szCs w:val="24"/>
          <w:u w:val="single"/>
          <w:lang w:val="en-US" w:eastAsia="sv-SE"/>
        </w:rPr>
        <w:t>Scientific Organizers</w:t>
      </w:r>
      <w:r w:rsidRPr="00663855">
        <w:rPr>
          <w:rFonts w:ascii="Cambria" w:eastAsia="Times New Roman" w:hAnsi="Cambria" w:cs="Times New Roman"/>
          <w:color w:val="000000"/>
          <w:sz w:val="24"/>
          <w:szCs w:val="24"/>
          <w:u w:val="single"/>
          <w:lang w:val="en-US" w:eastAsia="sv-SE"/>
        </w:rPr>
        <w:t>:</w:t>
      </w:r>
      <w:r w:rsidRPr="00663855">
        <w:rPr>
          <w:rFonts w:ascii="Cambria" w:eastAsia="Times New Roman" w:hAnsi="Cambria" w:cs="Times New Roman"/>
          <w:color w:val="000000"/>
          <w:sz w:val="24"/>
          <w:szCs w:val="24"/>
          <w:lang w:val="en-US" w:eastAsia="sv-SE"/>
        </w:rPr>
        <w:t xml:space="preserve"> Ruth Rubio-</w:t>
      </w:r>
      <w:proofErr w:type="spellStart"/>
      <w:r w:rsidRPr="00663855">
        <w:rPr>
          <w:rFonts w:ascii="Cambria" w:eastAsia="Times New Roman" w:hAnsi="Cambria" w:cs="Times New Roman"/>
          <w:color w:val="000000"/>
          <w:sz w:val="24"/>
          <w:szCs w:val="24"/>
          <w:lang w:val="en-US" w:eastAsia="sv-SE"/>
        </w:rPr>
        <w:t>Marín</w:t>
      </w:r>
      <w:proofErr w:type="spellEnd"/>
      <w:r w:rsidRPr="00663855">
        <w:rPr>
          <w:rFonts w:ascii="Cambria" w:eastAsia="Times New Roman" w:hAnsi="Cambria" w:cs="Times New Roman"/>
          <w:color w:val="000000"/>
          <w:sz w:val="24"/>
          <w:szCs w:val="24"/>
          <w:lang w:val="en-US" w:eastAsia="sv-SE"/>
        </w:rPr>
        <w:t xml:space="preserve"> (EUI) and </w:t>
      </w:r>
      <w:proofErr w:type="spellStart"/>
      <w:r w:rsidRPr="00663855">
        <w:rPr>
          <w:rFonts w:ascii="Cambria" w:eastAsia="Times New Roman" w:hAnsi="Cambria" w:cs="Times New Roman"/>
          <w:color w:val="000000"/>
          <w:sz w:val="24"/>
          <w:szCs w:val="24"/>
          <w:lang w:val="en-US" w:eastAsia="sv-SE"/>
        </w:rPr>
        <w:t>Eléonore</w:t>
      </w:r>
      <w:proofErr w:type="spellEnd"/>
      <w:r w:rsidRPr="00663855">
        <w:rPr>
          <w:rFonts w:ascii="Cambria" w:eastAsia="Times New Roman" w:hAnsi="Cambria" w:cs="Times New Roman"/>
          <w:color w:val="000000"/>
          <w:sz w:val="24"/>
          <w:szCs w:val="24"/>
          <w:lang w:val="en-US" w:eastAsia="sv-SE"/>
        </w:rPr>
        <w:t xml:space="preserve"> </w:t>
      </w:r>
      <w:proofErr w:type="spellStart"/>
      <w:r w:rsidRPr="00663855">
        <w:rPr>
          <w:rFonts w:ascii="Cambria" w:eastAsia="Times New Roman" w:hAnsi="Cambria" w:cs="Times New Roman"/>
          <w:color w:val="000000"/>
          <w:sz w:val="24"/>
          <w:szCs w:val="24"/>
          <w:lang w:val="en-US" w:eastAsia="sv-SE"/>
        </w:rPr>
        <w:t>Lépinard</w:t>
      </w:r>
      <w:proofErr w:type="spellEnd"/>
      <w:r w:rsidRPr="00663855">
        <w:rPr>
          <w:rFonts w:ascii="Cambria" w:eastAsia="Times New Roman" w:hAnsi="Cambria" w:cs="Times New Roman"/>
          <w:color w:val="000000"/>
          <w:sz w:val="24"/>
          <w:szCs w:val="24"/>
          <w:lang w:val="en-US" w:eastAsia="sv-SE"/>
        </w:rPr>
        <w:t xml:space="preserve"> (University of Lausanne)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lang w:val="en-US" w:eastAsia="sv-SE"/>
        </w:rPr>
        <w:t> </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b/>
          <w:bCs/>
          <w:color w:val="000000"/>
          <w:sz w:val="24"/>
          <w:szCs w:val="24"/>
          <w:u w:val="single"/>
          <w:lang w:val="en-US" w:eastAsia="sv-SE"/>
        </w:rPr>
        <w:t>Application Conditions and Deadline</w:t>
      </w:r>
      <w:r w:rsidRPr="00663855">
        <w:rPr>
          <w:rFonts w:ascii="Cambria" w:eastAsia="Times New Roman" w:hAnsi="Cambria" w:cs="Times New Roman"/>
          <w:color w:val="000000"/>
          <w:sz w:val="24"/>
          <w:szCs w:val="24"/>
          <w:lang w:val="en-US" w:eastAsia="sv-SE"/>
        </w:rPr>
        <w:t> </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lang w:val="en-US" w:eastAsia="sv-SE"/>
        </w:rPr>
        <w:t>The Academy of Global Governance does not charge a participation fee for the Executive Training Seminars. Trainees selected</w:t>
      </w:r>
      <w:proofErr w:type="gramStart"/>
      <w:r w:rsidRPr="00663855">
        <w:rPr>
          <w:rFonts w:ascii="Cambria" w:eastAsia="Times New Roman" w:hAnsi="Cambria" w:cs="Times New Roman"/>
          <w:color w:val="000000"/>
          <w:lang w:val="en-US" w:eastAsia="sv-SE"/>
        </w:rPr>
        <w:t>  will</w:t>
      </w:r>
      <w:proofErr w:type="gramEnd"/>
      <w:r w:rsidRPr="00663855">
        <w:rPr>
          <w:rFonts w:ascii="Cambria" w:eastAsia="Times New Roman" w:hAnsi="Cambria" w:cs="Times New Roman"/>
          <w:color w:val="000000"/>
          <w:lang w:val="en-US" w:eastAsia="sv-SE"/>
        </w:rPr>
        <w:t xml:space="preserve"> be offered a welcome dinner, and all lunches during the executive training days.</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To apply online, please click </w:t>
      </w:r>
      <w:hyperlink r:id="rId7" w:history="1">
        <w:r w:rsidRPr="00663855">
          <w:rPr>
            <w:rFonts w:ascii="Cambria" w:eastAsia="Times New Roman" w:hAnsi="Cambria" w:cs="Times New Roman"/>
            <w:color w:val="0000FF"/>
            <w:sz w:val="24"/>
            <w:szCs w:val="24"/>
            <w:u w:val="single"/>
            <w:lang w:val="en-US" w:eastAsia="sv-SE"/>
          </w:rPr>
          <w:t>here</w:t>
        </w:r>
      </w:hyperlink>
      <w:r w:rsidRPr="00663855">
        <w:rPr>
          <w:rFonts w:ascii="Cambria" w:eastAsia="Times New Roman" w:hAnsi="Cambria" w:cs="Times New Roman"/>
          <w:color w:val="000000"/>
          <w:sz w:val="24"/>
          <w:szCs w:val="24"/>
          <w:lang w:val="en-US" w:eastAsia="sv-SE"/>
        </w:rPr>
        <w:t>. The deadline for applications is October 19. Early application is highly encouraged since enrolment is limited.</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At the end of the training students will receive an attendance certificate.</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br/>
      </w:r>
      <w:r w:rsidRPr="00663855">
        <w:rPr>
          <w:rFonts w:ascii="Cambria" w:eastAsia="Times New Roman" w:hAnsi="Cambria" w:cs="Times New Roman"/>
          <w:b/>
          <w:bCs/>
          <w:color w:val="000000"/>
          <w:sz w:val="24"/>
          <w:szCs w:val="24"/>
          <w:u w:val="single"/>
          <w:lang w:val="en-US" w:eastAsia="sv-SE"/>
        </w:rPr>
        <w:t>Location and Contacts</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lang w:val="en-US" w:eastAsia="sv-SE"/>
        </w:rPr>
        <w:t> </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The Executive Training Seminar will take place at the </w:t>
      </w:r>
      <w:hyperlink r:id="rId8" w:tgtFrame="_blank" w:history="1">
        <w:r w:rsidRPr="00663855">
          <w:rPr>
            <w:rFonts w:ascii="Cambria" w:eastAsia="Times New Roman" w:hAnsi="Cambria" w:cs="Times New Roman"/>
            <w:color w:val="0000FF"/>
            <w:sz w:val="24"/>
            <w:szCs w:val="24"/>
            <w:u w:val="single"/>
            <w:lang w:val="en-US" w:eastAsia="sv-SE"/>
          </w:rPr>
          <w:t xml:space="preserve">Villa </w:t>
        </w:r>
        <w:proofErr w:type="spellStart"/>
        <w:r w:rsidRPr="00663855">
          <w:rPr>
            <w:rFonts w:ascii="Cambria" w:eastAsia="Times New Roman" w:hAnsi="Cambria" w:cs="Times New Roman"/>
            <w:color w:val="0000FF"/>
            <w:sz w:val="24"/>
            <w:szCs w:val="24"/>
            <w:u w:val="single"/>
            <w:lang w:val="en-US" w:eastAsia="sv-SE"/>
          </w:rPr>
          <w:t>Schifanoia</w:t>
        </w:r>
        <w:proofErr w:type="spellEnd"/>
      </w:hyperlink>
      <w:r w:rsidRPr="00663855">
        <w:rPr>
          <w:rFonts w:ascii="Cambria" w:eastAsia="Times New Roman" w:hAnsi="Cambria" w:cs="Times New Roman"/>
          <w:color w:val="000000"/>
          <w:sz w:val="24"/>
          <w:szCs w:val="24"/>
          <w:lang w:val="en-US" w:eastAsia="sv-SE"/>
        </w:rPr>
        <w:t>, which is part of the European University Institute campus in Florence, Italy</w:t>
      </w:r>
      <w:r w:rsidRPr="00663855">
        <w:rPr>
          <w:rFonts w:ascii="Cambria" w:eastAsia="Times New Roman" w:hAnsi="Cambria" w:cs="Times New Roman"/>
          <w:color w:val="000000"/>
          <w:lang w:val="en-US" w:eastAsia="sv-SE"/>
        </w:rPr>
        <w:t>.</w:t>
      </w:r>
    </w:p>
    <w:p w:rsidR="00663855" w:rsidRPr="00663855" w:rsidRDefault="00663855" w:rsidP="00663855">
      <w:pPr>
        <w:spacing w:before="100" w:beforeAutospacing="1" w:after="100" w:afterAutospacing="1" w:line="270" w:lineRule="atLeast"/>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For any further information or enquiries please contact </w:t>
      </w:r>
      <w:hyperlink r:id="rId9" w:tgtFrame="_blank" w:history="1">
        <w:r w:rsidRPr="00663855">
          <w:rPr>
            <w:rFonts w:ascii="Cambria" w:eastAsia="Times New Roman" w:hAnsi="Cambria" w:cs="Times New Roman"/>
            <w:color w:val="0000FF"/>
            <w:sz w:val="24"/>
            <w:szCs w:val="24"/>
            <w:u w:val="single"/>
            <w:lang w:val="en-US" w:eastAsia="sv-SE"/>
          </w:rPr>
          <w:t>tommaso.rooms@eui.eu</w:t>
        </w:r>
      </w:hyperlink>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b/>
          <w:bCs/>
          <w:color w:val="000000"/>
          <w:sz w:val="24"/>
          <w:szCs w:val="24"/>
          <w:u w:val="single"/>
          <w:lang w:val="en-US" w:eastAsia="sv-SE"/>
        </w:rPr>
        <w:lastRenderedPageBreak/>
        <w:t>About the Academy of Global Governance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mbria" w:eastAsia="Times New Roman" w:hAnsi="Cambria" w:cs="Times New Roman"/>
          <w:color w:val="000000"/>
          <w:sz w:val="24"/>
          <w:szCs w:val="24"/>
          <w:lang w:val="en-US" w:eastAsia="sv-SE"/>
        </w:rPr>
        <w:t xml:space="preserve">The </w:t>
      </w:r>
      <w:hyperlink r:id="rId10" w:tgtFrame="_blank" w:history="1">
        <w:r w:rsidRPr="00663855">
          <w:rPr>
            <w:rFonts w:ascii="Cambria" w:eastAsia="Times New Roman" w:hAnsi="Cambria" w:cs="Times New Roman"/>
            <w:color w:val="0000FF"/>
            <w:sz w:val="24"/>
            <w:szCs w:val="24"/>
            <w:u w:val="single"/>
            <w:lang w:val="en-US" w:eastAsia="sv-SE"/>
          </w:rPr>
          <w:t>Academy of Global Governance (AGG)</w:t>
        </w:r>
      </w:hyperlink>
      <w:r w:rsidRPr="00663855">
        <w:rPr>
          <w:rFonts w:ascii="Cambria" w:eastAsia="Times New Roman" w:hAnsi="Cambria" w:cs="Times New Roman"/>
          <w:color w:val="000000"/>
          <w:sz w:val="24"/>
          <w:szCs w:val="24"/>
          <w:lang w:val="en-US" w:eastAsia="sv-SE"/>
        </w:rPr>
        <w:t xml:space="preserve"> is a unique executive training </w:t>
      </w:r>
      <w:proofErr w:type="spellStart"/>
      <w:r w:rsidRPr="00663855">
        <w:rPr>
          <w:rFonts w:ascii="Cambria" w:eastAsia="Times New Roman" w:hAnsi="Cambria" w:cs="Times New Roman"/>
          <w:color w:val="000000"/>
          <w:sz w:val="24"/>
          <w:szCs w:val="24"/>
          <w:lang w:val="en-US" w:eastAsia="sv-SE"/>
        </w:rPr>
        <w:t>programme</w:t>
      </w:r>
      <w:proofErr w:type="spellEnd"/>
      <w:r w:rsidRPr="00663855">
        <w:rPr>
          <w:rFonts w:ascii="Cambria" w:eastAsia="Times New Roman" w:hAnsi="Cambria" w:cs="Times New Roman"/>
          <w:color w:val="1F497D"/>
          <w:sz w:val="24"/>
          <w:szCs w:val="24"/>
          <w:lang w:val="en-US" w:eastAsia="sv-SE"/>
        </w:rPr>
        <w:t xml:space="preserve">, </w:t>
      </w:r>
      <w:r w:rsidRPr="00663855">
        <w:rPr>
          <w:rFonts w:ascii="Cambria" w:eastAsia="Times New Roman" w:hAnsi="Cambria" w:cs="Times New Roman"/>
          <w:color w:val="000000"/>
          <w:sz w:val="24"/>
          <w:szCs w:val="24"/>
          <w:lang w:val="en-US" w:eastAsia="sv-SE"/>
        </w:rPr>
        <w:t xml:space="preserve">where theory and “real world” experience meet. Trainers at the AGG are leading academics, former ministers, heads of international </w:t>
      </w:r>
      <w:proofErr w:type="spellStart"/>
      <w:r w:rsidRPr="00663855">
        <w:rPr>
          <w:rFonts w:ascii="Cambria" w:eastAsia="Times New Roman" w:hAnsi="Cambria" w:cs="Times New Roman"/>
          <w:color w:val="000000"/>
          <w:sz w:val="24"/>
          <w:szCs w:val="24"/>
          <w:lang w:val="en-US" w:eastAsia="sv-SE"/>
        </w:rPr>
        <w:t>organisations</w:t>
      </w:r>
      <w:proofErr w:type="spellEnd"/>
      <w:r w:rsidRPr="00663855">
        <w:rPr>
          <w:rFonts w:ascii="Cambria" w:eastAsia="Times New Roman" w:hAnsi="Cambria" w:cs="Times New Roman"/>
          <w:color w:val="000000"/>
          <w:sz w:val="24"/>
          <w:szCs w:val="24"/>
          <w:lang w:val="en-US" w:eastAsia="sv-SE"/>
        </w:rPr>
        <w:t xml:space="preserve"> and top executives. AGG trainees </w:t>
      </w:r>
      <w:r w:rsidRPr="00663855">
        <w:rPr>
          <w:rFonts w:ascii="Cambria" w:eastAsia="Times New Roman" w:hAnsi="Cambria" w:cs="Times New Roman"/>
          <w:color w:val="1F497D"/>
          <w:sz w:val="24"/>
          <w:szCs w:val="24"/>
          <w:lang w:val="en-US" w:eastAsia="sv-SE"/>
        </w:rPr>
        <w:t>–</w:t>
      </w:r>
      <w:r w:rsidRPr="00663855">
        <w:rPr>
          <w:rFonts w:ascii="Cambria" w:eastAsia="Times New Roman" w:hAnsi="Cambria" w:cs="Times New Roman"/>
          <w:color w:val="000000"/>
          <w:sz w:val="24"/>
          <w:szCs w:val="24"/>
          <w:lang w:val="en-US" w:eastAsia="sv-SE"/>
        </w:rPr>
        <w:t xml:space="preserve"> young executives, policy makers, diplomats, international organizations and public sector officials, private sector professionals, and junior academics - have diverse backgrounds, operate in a wide range of contexts, and come from the different corners of the world, to share views and debate in the vibrant academic environment of the European University Institute. The AGG’s trainees benefit from a network of academics and international top-level officials, and from an extremely stimulating discussion on topical issues relating to governance.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color w:val="1F497D"/>
          <w:lang w:val="en-US"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eastAsia="sv-SE"/>
        </w:rPr>
      </w:pPr>
      <w:proofErr w:type="gramStart"/>
      <w:r w:rsidRPr="00663855">
        <w:rPr>
          <w:rFonts w:ascii="Arial" w:eastAsia="Times New Roman" w:hAnsi="Arial" w:cs="Arial"/>
          <w:color w:val="000000"/>
          <w:sz w:val="20"/>
          <w:szCs w:val="20"/>
          <w:lang w:eastAsia="sv-SE"/>
        </w:rPr>
        <w:t>---</w:t>
      </w:r>
      <w:proofErr w:type="gramEnd"/>
      <w:r w:rsidRPr="00663855">
        <w:rPr>
          <w:rFonts w:ascii="Arial" w:eastAsia="Times New Roman" w:hAnsi="Arial" w:cs="Arial"/>
          <w:color w:val="000000"/>
          <w:sz w:val="20"/>
          <w:szCs w:val="20"/>
          <w:lang w:eastAsia="sv-SE"/>
        </w:rPr>
        <w:t>----------------------</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eastAsia="sv-SE"/>
        </w:rPr>
      </w:pPr>
      <w:r w:rsidRPr="00663855">
        <w:rPr>
          <w:rFonts w:ascii="Arial" w:eastAsia="Times New Roman" w:hAnsi="Arial" w:cs="Arial"/>
          <w:color w:val="000000"/>
          <w:sz w:val="20"/>
          <w:szCs w:val="20"/>
          <w:lang w:eastAsia="sv-SE"/>
        </w:rPr>
        <w:t xml:space="preserve">Tommaso </w:t>
      </w:r>
      <w:proofErr w:type="spellStart"/>
      <w:r w:rsidRPr="00663855">
        <w:rPr>
          <w:rFonts w:ascii="Arial" w:eastAsia="Times New Roman" w:hAnsi="Arial" w:cs="Arial"/>
          <w:color w:val="000000"/>
          <w:sz w:val="20"/>
          <w:szCs w:val="20"/>
          <w:lang w:eastAsia="sv-SE"/>
        </w:rPr>
        <w:t>Rooms</w:t>
      </w:r>
      <w:proofErr w:type="spellEnd"/>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Arial" w:eastAsia="Times New Roman" w:hAnsi="Arial" w:cs="Arial"/>
          <w:color w:val="000000"/>
          <w:sz w:val="20"/>
          <w:szCs w:val="20"/>
          <w:lang w:val="en-US" w:eastAsia="sv-SE"/>
        </w:rPr>
        <w:t xml:space="preserve">Global Governance </w:t>
      </w:r>
      <w:proofErr w:type="spellStart"/>
      <w:r w:rsidRPr="00663855">
        <w:rPr>
          <w:rFonts w:ascii="Arial" w:eastAsia="Times New Roman" w:hAnsi="Arial" w:cs="Arial"/>
          <w:color w:val="000000"/>
          <w:sz w:val="20"/>
          <w:szCs w:val="20"/>
          <w:lang w:val="en-US" w:eastAsia="sv-SE"/>
        </w:rPr>
        <w:t>Programme</w:t>
      </w:r>
      <w:proofErr w:type="spellEnd"/>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Arial" w:eastAsia="Times New Roman" w:hAnsi="Arial" w:cs="Arial"/>
          <w:color w:val="000000"/>
          <w:sz w:val="20"/>
          <w:szCs w:val="20"/>
          <w:lang w:val="en-US" w:eastAsia="sv-SE"/>
        </w:rPr>
        <w:t>Academy of Global Governance Coordinator</w:t>
      </w:r>
      <w:r w:rsidRPr="00663855">
        <w:rPr>
          <w:rFonts w:ascii="Arial" w:eastAsia="Times New Roman" w:hAnsi="Arial" w:cs="Arial"/>
          <w:color w:val="000000"/>
          <w:sz w:val="20"/>
          <w:szCs w:val="20"/>
          <w:lang w:val="en-US" w:eastAsia="sv-SE"/>
        </w:rPr>
        <w:br/>
        <w:t>European University Institute</w:t>
      </w:r>
      <w:r w:rsidRPr="00663855">
        <w:rPr>
          <w:rFonts w:ascii="Calibri" w:eastAsia="Times New Roman" w:hAnsi="Calibri" w:cs="Times New Roman"/>
          <w:color w:val="000000"/>
          <w:lang w:val="en-US" w:eastAsia="sv-SE"/>
        </w:rPr>
        <w:t xml:space="preserve">, </w:t>
      </w:r>
      <w:r w:rsidRPr="00663855">
        <w:rPr>
          <w:rFonts w:ascii="Arial" w:eastAsia="Times New Roman" w:hAnsi="Arial" w:cs="Arial"/>
          <w:color w:val="000000"/>
          <w:sz w:val="20"/>
          <w:szCs w:val="20"/>
          <w:lang w:val="en-US" w:eastAsia="sv-SE"/>
        </w:rPr>
        <w:t>Robert Schuman Centre for Advanced Studies</w:t>
      </w:r>
      <w:r w:rsidRPr="00663855">
        <w:rPr>
          <w:rFonts w:ascii="Arial" w:eastAsia="Times New Roman" w:hAnsi="Arial" w:cs="Arial"/>
          <w:color w:val="000000"/>
          <w:sz w:val="20"/>
          <w:szCs w:val="20"/>
          <w:lang w:val="en-US" w:eastAsia="sv-SE"/>
        </w:rPr>
        <w:br/>
        <w:t xml:space="preserve">Villa </w:t>
      </w:r>
      <w:proofErr w:type="spellStart"/>
      <w:r w:rsidRPr="00663855">
        <w:rPr>
          <w:rFonts w:ascii="Arial" w:eastAsia="Times New Roman" w:hAnsi="Arial" w:cs="Arial"/>
          <w:color w:val="000000"/>
          <w:sz w:val="20"/>
          <w:szCs w:val="20"/>
          <w:lang w:val="en-US" w:eastAsia="sv-SE"/>
        </w:rPr>
        <w:t>Schifanoia</w:t>
      </w:r>
      <w:proofErr w:type="spellEnd"/>
      <w:r w:rsidRPr="00663855">
        <w:rPr>
          <w:rFonts w:ascii="Calibri" w:eastAsia="Times New Roman" w:hAnsi="Calibri" w:cs="Times New Roman"/>
          <w:color w:val="000000"/>
          <w:lang w:val="en-US" w:eastAsia="sv-SE"/>
        </w:rPr>
        <w:t xml:space="preserve">, </w:t>
      </w:r>
      <w:r w:rsidRPr="00663855">
        <w:rPr>
          <w:rFonts w:ascii="Arial" w:eastAsia="Times New Roman" w:hAnsi="Arial" w:cs="Arial"/>
          <w:color w:val="000000"/>
          <w:sz w:val="20"/>
          <w:szCs w:val="20"/>
          <w:lang w:val="en-US" w:eastAsia="sv-SE"/>
        </w:rPr>
        <w:t>Via Boccaccio, 121</w:t>
      </w:r>
      <w:r w:rsidRPr="00663855">
        <w:rPr>
          <w:rFonts w:ascii="Calibri" w:eastAsia="Times New Roman" w:hAnsi="Calibri" w:cs="Times New Roman"/>
          <w:color w:val="000000"/>
          <w:lang w:val="en-US" w:eastAsia="sv-SE"/>
        </w:rPr>
        <w:t xml:space="preserve">, </w:t>
      </w:r>
      <w:r w:rsidRPr="00663855">
        <w:rPr>
          <w:rFonts w:ascii="Arial" w:eastAsia="Times New Roman" w:hAnsi="Arial" w:cs="Arial"/>
          <w:color w:val="000000"/>
          <w:sz w:val="20"/>
          <w:szCs w:val="20"/>
          <w:lang w:val="en-US" w:eastAsia="sv-SE"/>
        </w:rPr>
        <w:t>50133 Firenze</w:t>
      </w:r>
      <w:r w:rsidRPr="00663855">
        <w:rPr>
          <w:rFonts w:ascii="Calibri" w:eastAsia="Times New Roman" w:hAnsi="Calibri" w:cs="Times New Roman"/>
          <w:color w:val="000000"/>
          <w:lang w:val="en-US" w:eastAsia="sv-SE"/>
        </w:rPr>
        <w:t xml:space="preserve"> </w:t>
      </w:r>
      <w:r w:rsidRPr="00663855">
        <w:rPr>
          <w:rFonts w:ascii="Arial" w:eastAsia="Times New Roman" w:hAnsi="Arial" w:cs="Arial"/>
          <w:color w:val="000000"/>
          <w:sz w:val="20"/>
          <w:szCs w:val="20"/>
          <w:lang w:val="en-US" w:eastAsia="sv-SE"/>
        </w:rPr>
        <w:t>Italia</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Arial" w:eastAsia="Times New Roman" w:hAnsi="Arial" w:cs="Arial"/>
          <w:color w:val="000000"/>
          <w:sz w:val="20"/>
          <w:szCs w:val="20"/>
          <w:lang w:val="de-DE" w:eastAsia="sv-SE"/>
        </w:rPr>
        <w:t>Tel.: +39 055 4685 960</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Arial" w:eastAsia="Times New Roman" w:hAnsi="Arial" w:cs="Arial"/>
          <w:color w:val="000000"/>
          <w:sz w:val="20"/>
          <w:szCs w:val="20"/>
          <w:lang w:val="de-DE" w:eastAsia="sv-SE"/>
        </w:rPr>
        <w:t>Email: </w:t>
      </w:r>
      <w:hyperlink r:id="rId11" w:tgtFrame="_blank" w:history="1">
        <w:r w:rsidRPr="00663855">
          <w:rPr>
            <w:rFonts w:ascii="Arial" w:eastAsia="Times New Roman" w:hAnsi="Arial" w:cs="Arial"/>
            <w:color w:val="0000FF"/>
            <w:sz w:val="20"/>
            <w:szCs w:val="20"/>
            <w:u w:val="single"/>
            <w:lang w:val="de-DE" w:eastAsia="sv-SE"/>
          </w:rPr>
          <w:t>tommaso.rooms@eui.eu</w:t>
        </w:r>
      </w:hyperlink>
      <w:r w:rsidRPr="00663855">
        <w:rPr>
          <w:rFonts w:ascii="Calibri" w:eastAsia="Times New Roman" w:hAnsi="Calibri" w:cs="Times New Roman"/>
          <w:color w:val="000000"/>
          <w:lang w:val="de-DE"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Times New Roman" w:eastAsia="Times New Roman" w:hAnsi="Times New Roman" w:cs="Times New Roman"/>
          <w:color w:val="1F497D"/>
          <w:lang w:val="de-DE"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hyperlink r:id="rId12" w:tgtFrame="_blank" w:history="1">
        <w:proofErr w:type="gramStart"/>
        <w:r w:rsidRPr="00663855">
          <w:rPr>
            <w:rFonts w:ascii="Arial Unicode MS" w:eastAsia="Arial Unicode MS" w:hAnsi="Arial Unicode MS" w:cs="Arial Unicode MS" w:hint="eastAsia"/>
            <w:b/>
            <w:bCs/>
            <w:i/>
            <w:iCs/>
            <w:color w:val="0000FF"/>
            <w:sz w:val="18"/>
            <w:szCs w:val="18"/>
            <w:u w:val="single"/>
            <w:lang w:val="en-AU" w:eastAsia="sv-SE"/>
          </w:rPr>
          <w:t>Global Governance Programme Ideas.</w:t>
        </w:r>
        <w:proofErr w:type="gramEnd"/>
        <w:r w:rsidRPr="00663855">
          <w:rPr>
            <w:rFonts w:ascii="Arial Unicode MS" w:eastAsia="Arial Unicode MS" w:hAnsi="Arial Unicode MS" w:cs="Arial Unicode MS" w:hint="eastAsia"/>
            <w:b/>
            <w:bCs/>
            <w:i/>
            <w:iCs/>
            <w:color w:val="0000FF"/>
            <w:sz w:val="18"/>
            <w:szCs w:val="18"/>
            <w:u w:val="single"/>
            <w:lang w:val="en-AU" w:eastAsia="sv-SE"/>
          </w:rPr>
          <w:t xml:space="preserve"> Change</w:t>
        </w:r>
      </w:hyperlink>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Arial Unicode MS" w:eastAsia="Arial Unicode MS" w:hAnsi="Arial Unicode MS" w:cs="Arial Unicode MS" w:hint="eastAsia"/>
          <w:b/>
          <w:bCs/>
          <w:i/>
          <w:iCs/>
          <w:color w:val="595959"/>
          <w:sz w:val="18"/>
          <w:szCs w:val="18"/>
          <w:lang w:val="en-AU" w:eastAsia="sv-SE"/>
        </w:rPr>
        <w:t> </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Calibri" w:eastAsia="Times New Roman" w:hAnsi="Calibri" w:cs="Times New Roman"/>
          <w:i/>
          <w:iCs/>
          <w:lang w:val="en-US" w:eastAsia="sv-SE"/>
        </w:rPr>
        <w:t xml:space="preserve">The Global Governance </w:t>
      </w:r>
      <w:proofErr w:type="spellStart"/>
      <w:r w:rsidRPr="00663855">
        <w:rPr>
          <w:rFonts w:ascii="Calibri" w:eastAsia="Times New Roman" w:hAnsi="Calibri" w:cs="Times New Roman"/>
          <w:i/>
          <w:iCs/>
          <w:lang w:val="en-US" w:eastAsia="sv-SE"/>
        </w:rPr>
        <w:t>Programme</w:t>
      </w:r>
      <w:proofErr w:type="spellEnd"/>
      <w:r w:rsidRPr="00663855">
        <w:rPr>
          <w:rFonts w:ascii="Calibri" w:eastAsia="Times New Roman" w:hAnsi="Calibri" w:cs="Times New Roman"/>
          <w:i/>
          <w:iCs/>
          <w:lang w:val="en-US" w:eastAsia="sv-SE"/>
        </w:rPr>
        <w:t xml:space="preserve"> is part of the Robert Schuman Centre for Advanced Studies of the European University Institute. It provides a European setting for the study of global issues and of how to address them by conducting policy oriented research, promoting real exchanges and synergies between the worlds of research and policy, and offering executive and policy oriented training through the Academy of Global Governance.</w:t>
      </w:r>
    </w:p>
    <w:p w:rsidR="00663855" w:rsidRPr="00663855" w:rsidRDefault="00663855" w:rsidP="00663855">
      <w:pPr>
        <w:spacing w:before="100" w:beforeAutospacing="1" w:after="100" w:afterAutospacing="1" w:line="240" w:lineRule="auto"/>
        <w:rPr>
          <w:rFonts w:ascii="Times New Roman" w:eastAsia="Times New Roman" w:hAnsi="Times New Roman" w:cs="Times New Roman"/>
          <w:sz w:val="24"/>
          <w:szCs w:val="24"/>
          <w:lang w:val="en-US" w:eastAsia="sv-SE"/>
        </w:rPr>
      </w:pPr>
      <w:r w:rsidRPr="00663855">
        <w:rPr>
          <w:rFonts w:ascii="Tahoma" w:eastAsia="Times New Roman" w:hAnsi="Tahoma" w:cs="Tahoma"/>
          <w:color w:val="000000"/>
          <w:sz w:val="20"/>
          <w:szCs w:val="20"/>
          <w:lang w:val="en-US" w:eastAsia="sv-SE"/>
        </w:rPr>
        <w:t> </w:t>
      </w:r>
    </w:p>
    <w:p w:rsidR="00B3051A" w:rsidRPr="00663855" w:rsidRDefault="00B3051A">
      <w:pPr>
        <w:rPr>
          <w:lang w:val="en-US"/>
        </w:rPr>
      </w:pPr>
    </w:p>
    <w:sectPr w:rsidR="00B3051A" w:rsidRPr="006638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855"/>
    <w:rsid w:val="00663855"/>
    <w:rsid w:val="00B3051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6393312">
      <w:bodyDiv w:val="1"/>
      <w:marLeft w:val="0"/>
      <w:marRight w:val="0"/>
      <w:marTop w:val="0"/>
      <w:marBottom w:val="0"/>
      <w:divBdr>
        <w:top w:val="none" w:sz="0" w:space="0" w:color="auto"/>
        <w:left w:val="none" w:sz="0" w:space="0" w:color="auto"/>
        <w:bottom w:val="none" w:sz="0" w:space="0" w:color="auto"/>
        <w:right w:val="none" w:sz="0" w:space="0" w:color="auto"/>
      </w:divBdr>
      <w:divsChild>
        <w:div w:id="773983030">
          <w:marLeft w:val="0"/>
          <w:marRight w:val="0"/>
          <w:marTop w:val="0"/>
          <w:marBottom w:val="0"/>
          <w:divBdr>
            <w:top w:val="none" w:sz="0" w:space="0" w:color="auto"/>
            <w:left w:val="none" w:sz="0" w:space="0" w:color="auto"/>
            <w:bottom w:val="none" w:sz="0" w:space="0" w:color="auto"/>
            <w:right w:val="none" w:sz="0" w:space="0" w:color="auto"/>
          </w:divBdr>
          <w:divsChild>
            <w:div w:id="879628702">
              <w:marLeft w:val="0"/>
              <w:marRight w:val="0"/>
              <w:marTop w:val="0"/>
              <w:marBottom w:val="0"/>
              <w:divBdr>
                <w:top w:val="none" w:sz="0" w:space="0" w:color="auto"/>
                <w:left w:val="none" w:sz="0" w:space="0" w:color="auto"/>
                <w:bottom w:val="none" w:sz="0" w:space="0" w:color="auto"/>
                <w:right w:val="none" w:sz="0" w:space="0" w:color="auto"/>
              </w:divBdr>
            </w:div>
            <w:div w:id="53359821">
              <w:marLeft w:val="0"/>
              <w:marRight w:val="0"/>
              <w:marTop w:val="0"/>
              <w:marBottom w:val="0"/>
              <w:divBdr>
                <w:top w:val="none" w:sz="0" w:space="0" w:color="auto"/>
                <w:left w:val="none" w:sz="0" w:space="0" w:color="auto"/>
                <w:bottom w:val="none" w:sz="0" w:space="0" w:color="auto"/>
                <w:right w:val="none" w:sz="0" w:space="0" w:color="auto"/>
              </w:divBdr>
              <w:divsChild>
                <w:div w:id="1607692916">
                  <w:marLeft w:val="0"/>
                  <w:marRight w:val="0"/>
                  <w:marTop w:val="0"/>
                  <w:marBottom w:val="0"/>
                  <w:divBdr>
                    <w:top w:val="none" w:sz="0" w:space="0" w:color="auto"/>
                    <w:left w:val="none" w:sz="0" w:space="0" w:color="auto"/>
                    <w:bottom w:val="none" w:sz="0" w:space="0" w:color="auto"/>
                    <w:right w:val="none" w:sz="0" w:space="0" w:color="auto"/>
                  </w:divBdr>
                  <w:divsChild>
                    <w:div w:id="1728843426">
                      <w:marLeft w:val="0"/>
                      <w:marRight w:val="0"/>
                      <w:marTop w:val="0"/>
                      <w:marBottom w:val="0"/>
                      <w:divBdr>
                        <w:top w:val="none" w:sz="0" w:space="0" w:color="auto"/>
                        <w:left w:val="none" w:sz="0" w:space="0" w:color="auto"/>
                        <w:bottom w:val="none" w:sz="0" w:space="0" w:color="auto"/>
                        <w:right w:val="none" w:sz="0" w:space="0" w:color="auto"/>
                      </w:divBdr>
                      <w:divsChild>
                        <w:div w:id="1210917416">
                          <w:marLeft w:val="0"/>
                          <w:marRight w:val="0"/>
                          <w:marTop w:val="0"/>
                          <w:marBottom w:val="0"/>
                          <w:divBdr>
                            <w:top w:val="none" w:sz="0" w:space="0" w:color="auto"/>
                            <w:left w:val="none" w:sz="0" w:space="0" w:color="auto"/>
                            <w:bottom w:val="none" w:sz="0" w:space="0" w:color="auto"/>
                            <w:right w:val="none" w:sz="0" w:space="0" w:color="auto"/>
                          </w:divBdr>
                          <w:divsChild>
                            <w:div w:id="174745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i.eu/ServicesAndAdmin/LogisticsService/EUICampus/VillaSchifanoia.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lobalgovernanceprogramme.eui.eu/executive-training/academy/gender-quotas-at-the-global-level-towards-parity-governance/" TargetMode="External"/><Relationship Id="rId12" Type="http://schemas.openxmlformats.org/officeDocument/2006/relationships/hyperlink" Target="http://www.eui.eu/Projects/GGP/Hom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globalgovernanceprogramme.eui.eu/wp-content/uploads/2012/11/Gender-Quotas-at-the-Global-Level-Towards-Parity-Governance_Academic-Programme.pdf" TargetMode="External"/><Relationship Id="rId11" Type="http://schemas.openxmlformats.org/officeDocument/2006/relationships/hyperlink" Target="mailto:tommaso.rooms@eui.eu" TargetMode="External"/><Relationship Id="rId5" Type="http://schemas.openxmlformats.org/officeDocument/2006/relationships/hyperlink" Target="http://globalgovernanceprogramme.eui.eu/executive-training/academy/gender-quotas-at-the-global-level-towards-parity-governance/" TargetMode="External"/><Relationship Id="rId10" Type="http://schemas.openxmlformats.org/officeDocument/2006/relationships/hyperlink" Target="http://globalgovernanceprogramme.eui.eu/executive-training/academy/" TargetMode="External"/><Relationship Id="rId4" Type="http://schemas.openxmlformats.org/officeDocument/2006/relationships/webSettings" Target="webSettings.xml"/><Relationship Id="rId9" Type="http://schemas.openxmlformats.org/officeDocument/2006/relationships/hyperlink" Target="mailto:tommaso.rooms@eui.eu" TargetMode="Externa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923</Words>
  <Characters>4898</Characters>
  <Application>Microsoft Office Word</Application>
  <DocSecurity>0</DocSecurity>
  <Lines>40</Lines>
  <Paragraphs>11</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5810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1</cp:revision>
  <dcterms:created xsi:type="dcterms:W3CDTF">2013-10-04T16:24:00Z</dcterms:created>
  <dcterms:modified xsi:type="dcterms:W3CDTF">2013-10-04T16:25:00Z</dcterms:modified>
</cp:coreProperties>
</file>